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color w:val="000000"/>
          <w:sz w:val="36"/>
          <w:szCs w:val="36"/>
          <w:highlight w:val="none"/>
          <w:lang w:eastAsia="zh-CN"/>
        </w:rPr>
      </w:pPr>
      <w:r>
        <w:rPr>
          <w:rFonts w:hint="eastAsia" w:ascii="宋体" w:hAnsi="宋体"/>
          <w:b/>
          <w:bCs/>
          <w:color w:val="auto"/>
          <w:sz w:val="36"/>
          <w:szCs w:val="36"/>
        </w:rPr>
        <w:t>湖南财经工业职业技术学院人事科研一体化信息管理平台项目</w:t>
      </w:r>
      <w:r>
        <w:rPr>
          <w:rFonts w:hint="eastAsia" w:ascii="宋体" w:hAnsi="宋体" w:cs="宋体"/>
          <w:b/>
          <w:bCs/>
          <w:color w:val="000000"/>
          <w:sz w:val="36"/>
          <w:szCs w:val="36"/>
          <w:highlight w:val="none"/>
          <w:lang w:val="en-US" w:eastAsia="zh-CN"/>
        </w:rPr>
        <w:t>竞争性</w:t>
      </w:r>
      <w:r>
        <w:rPr>
          <w:rFonts w:hint="eastAsia" w:ascii="宋体" w:hAnsi="宋体" w:cs="宋体"/>
          <w:b/>
          <w:bCs/>
          <w:color w:val="000000"/>
          <w:sz w:val="36"/>
          <w:szCs w:val="36"/>
          <w:highlight w:val="none"/>
        </w:rPr>
        <w:t>磋商邀请</w:t>
      </w:r>
      <w:r>
        <w:rPr>
          <w:rFonts w:hint="eastAsia" w:ascii="宋体" w:hAnsi="宋体" w:cs="宋体"/>
          <w:b/>
          <w:bCs/>
          <w:color w:val="000000"/>
          <w:sz w:val="36"/>
          <w:szCs w:val="36"/>
          <w:highlight w:val="none"/>
          <w:lang w:eastAsia="zh-CN"/>
        </w:rPr>
        <w:t>公告</w:t>
      </w:r>
    </w:p>
    <w:p>
      <w:pPr>
        <w:pStyle w:val="8"/>
        <w:spacing w:before="0" w:beforeAutospacing="0" w:after="0" w:afterAutospacing="0" w:line="300" w:lineRule="auto"/>
        <w:ind w:firstLine="420"/>
        <w:jc w:val="both"/>
        <w:rPr>
          <w:rFonts w:hint="eastAsia" w:ascii="宋体" w:hAnsi="宋体" w:eastAsia="宋体" w:cs="宋体"/>
          <w:color w:val="auto"/>
          <w:sz w:val="21"/>
          <w:szCs w:val="21"/>
          <w:u w:val="single"/>
        </w:rPr>
      </w:pPr>
    </w:p>
    <w:p>
      <w:pPr>
        <w:pStyle w:val="8"/>
        <w:pageBreakBefore w:val="0"/>
        <w:kinsoku/>
        <w:wordWrap/>
        <w:overflowPunct/>
        <w:topLinePunct w:val="0"/>
        <w:autoSpaceDE/>
        <w:autoSpaceDN/>
        <w:bidi w:val="0"/>
        <w:spacing w:before="0" w:beforeAutospacing="0" w:after="0" w:afterAutospacing="0" w:line="360" w:lineRule="exact"/>
        <w:ind w:firstLine="42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u w:val="single"/>
        </w:rPr>
        <w:t xml:space="preserve"> 湖南财经工业职业技术学院</w:t>
      </w:r>
      <w:r>
        <w:rPr>
          <w:rFonts w:hint="eastAsia" w:ascii="宋体" w:hAnsi="宋体" w:eastAsia="宋体" w:cs="宋体"/>
          <w:color w:val="auto"/>
          <w:sz w:val="21"/>
          <w:szCs w:val="21"/>
        </w:rPr>
        <w:t>的</w:t>
      </w:r>
      <w:r>
        <w:rPr>
          <w:rFonts w:hint="eastAsia" w:ascii="宋体" w:hAnsi="宋体" w:eastAsia="宋体" w:cs="宋体"/>
          <w:color w:val="auto"/>
          <w:sz w:val="21"/>
          <w:szCs w:val="21"/>
          <w:u w:val="single"/>
        </w:rPr>
        <w:t>人事科研一体化信息管理平台项目</w:t>
      </w:r>
      <w:r>
        <w:rPr>
          <w:rFonts w:hint="eastAsia" w:ascii="宋体" w:hAnsi="宋体" w:eastAsia="宋体" w:cs="宋体"/>
          <w:color w:val="auto"/>
          <w:sz w:val="21"/>
          <w:szCs w:val="21"/>
        </w:rPr>
        <w:t>进行竞争性磋商采购，</w:t>
      </w:r>
      <w:r>
        <w:rPr>
          <w:rStyle w:val="14"/>
          <w:rFonts w:hint="eastAsia" w:ascii="宋体" w:hAnsi="宋体" w:eastAsia="宋体" w:cs="宋体"/>
          <w:b w:val="0"/>
          <w:bCs/>
          <w:color w:val="auto"/>
          <w:kern w:val="0"/>
          <w:sz w:val="21"/>
          <w:szCs w:val="21"/>
          <w:lang w:val="en-US" w:eastAsia="zh-CN" w:bidi="ar-SA"/>
        </w:rPr>
        <w:t>现采用发布公告方式，邀请符合资格条件的供应商参与竞争性磋商采购活动。</w:t>
      </w:r>
    </w:p>
    <w:p>
      <w:pPr>
        <w:pStyle w:val="4"/>
        <w:pageBreakBefore w:val="0"/>
        <w:kinsoku/>
        <w:wordWrap/>
        <w:overflowPunct/>
        <w:topLinePunct w:val="0"/>
        <w:autoSpaceDE/>
        <w:autoSpaceDN/>
        <w:bidi w:val="0"/>
        <w:adjustRightInd w:val="0"/>
        <w:snapToGrid w:val="0"/>
        <w:spacing w:before="156" w:beforeLines="50" w:line="360" w:lineRule="exact"/>
        <w:textAlignment w:val="auto"/>
        <w:rPr>
          <w:rFonts w:ascii="黑体" w:hAnsi="黑体" w:eastAsia="黑体"/>
          <w:color w:val="auto"/>
        </w:rPr>
      </w:pPr>
      <w:bookmarkStart w:id="0" w:name="_Toc18241"/>
      <w:bookmarkStart w:id="1" w:name="_Toc22201055"/>
      <w:r>
        <w:rPr>
          <w:rFonts w:hint="eastAsia" w:ascii="黑体" w:hAnsi="黑体" w:eastAsia="黑体"/>
          <w:color w:val="auto"/>
        </w:rPr>
        <w:t>一、采购项目名称、编号</w:t>
      </w:r>
      <w:bookmarkEnd w:id="0"/>
      <w:bookmarkEnd w:id="1"/>
    </w:p>
    <w:p>
      <w:pPr>
        <w:pageBreakBefore w:val="0"/>
        <w:kinsoku/>
        <w:wordWrap/>
        <w:overflowPunct/>
        <w:topLinePunct w:val="0"/>
        <w:autoSpaceDE/>
        <w:autoSpaceDN/>
        <w:bidi w:val="0"/>
        <w:adjustRightInd w:val="0"/>
        <w:snapToGrid w:val="0"/>
        <w:spacing w:before="156" w:beforeLines="50" w:line="360" w:lineRule="exact"/>
        <w:ind w:left="2310" w:leftChars="200" w:hanging="1890" w:hangingChars="900"/>
        <w:textAlignment w:val="auto"/>
        <w:rPr>
          <w:rFonts w:hint="default" w:ascii="宋体" w:hAnsi="宋体"/>
          <w:color w:val="auto"/>
          <w:szCs w:val="21"/>
          <w:u w:val="single"/>
          <w:lang w:val="en-US" w:eastAsia="zh-CN"/>
        </w:rPr>
      </w:pPr>
      <w:r>
        <w:rPr>
          <w:rFonts w:hint="eastAsia" w:ascii="宋体" w:hAnsi="宋体"/>
          <w:color w:val="auto"/>
          <w:szCs w:val="21"/>
        </w:rPr>
        <w:t>1、采购项目名称：湖南财经工业职业技术学院人事科研一体化信息管理平台项目</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default" w:ascii="宋体" w:hAnsi="宋体" w:eastAsia="宋体"/>
          <w:color w:val="auto"/>
          <w:szCs w:val="21"/>
          <w:u w:val="single"/>
          <w:lang w:val="en-US" w:eastAsia="zh-CN"/>
        </w:rPr>
      </w:pPr>
      <w:bookmarkStart w:id="2" w:name="_Toc9321"/>
      <w:bookmarkStart w:id="3" w:name="_Toc22201056"/>
      <w:r>
        <w:rPr>
          <w:rFonts w:hint="eastAsia" w:ascii="宋体" w:hAnsi="宋体"/>
          <w:color w:val="auto"/>
          <w:szCs w:val="21"/>
          <w:lang w:val="en-US" w:eastAsia="zh-CN"/>
        </w:rPr>
        <w:t>2</w:t>
      </w:r>
      <w:r>
        <w:rPr>
          <w:rFonts w:hint="eastAsia" w:ascii="宋体" w:hAnsi="宋体"/>
          <w:color w:val="auto"/>
          <w:szCs w:val="21"/>
        </w:rPr>
        <w:t>、委托代理编号：</w:t>
      </w:r>
      <w:r>
        <w:rPr>
          <w:rFonts w:hint="eastAsia" w:ascii="宋体" w:hAnsi="宋体"/>
          <w:color w:val="auto"/>
          <w:szCs w:val="21"/>
          <w:u w:val="none"/>
          <w:lang w:eastAsia="zh-CN"/>
        </w:rPr>
        <w:t>HNRX2021-0</w:t>
      </w:r>
      <w:r>
        <w:rPr>
          <w:rFonts w:hint="eastAsia" w:ascii="宋体" w:hAnsi="宋体"/>
          <w:color w:val="auto"/>
          <w:szCs w:val="21"/>
          <w:u w:val="none"/>
          <w:lang w:val="en-US" w:eastAsia="zh-CN"/>
        </w:rPr>
        <w:t>65</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u w:val="single"/>
        </w:rPr>
      </w:pPr>
      <w:r>
        <w:rPr>
          <w:rFonts w:hint="eastAsia" w:ascii="宋体" w:hAnsi="宋体"/>
          <w:color w:val="auto"/>
          <w:szCs w:val="21"/>
          <w:lang w:val="en-US" w:eastAsia="zh-CN"/>
        </w:rPr>
        <w:t>3</w:t>
      </w:r>
      <w:r>
        <w:rPr>
          <w:rFonts w:hint="eastAsia" w:ascii="宋体" w:hAnsi="宋体"/>
          <w:color w:val="auto"/>
          <w:szCs w:val="21"/>
        </w:rPr>
        <w:t>、采购方式：</w:t>
      </w:r>
      <w:r>
        <w:rPr>
          <w:rFonts w:hint="eastAsia" w:ascii="宋体" w:hAnsi="宋体"/>
          <w:color w:val="auto"/>
          <w:szCs w:val="21"/>
          <w:u w:val="none"/>
        </w:rPr>
        <w:t>竞争性磋商</w:t>
      </w:r>
    </w:p>
    <w:p>
      <w:pPr>
        <w:pStyle w:val="4"/>
        <w:pageBreakBefore w:val="0"/>
        <w:kinsoku/>
        <w:wordWrap/>
        <w:overflowPunct/>
        <w:topLinePunct w:val="0"/>
        <w:autoSpaceDE/>
        <w:autoSpaceDN/>
        <w:bidi w:val="0"/>
        <w:adjustRightInd w:val="0"/>
        <w:snapToGrid w:val="0"/>
        <w:spacing w:before="156" w:beforeLines="50" w:line="360" w:lineRule="exact"/>
        <w:textAlignment w:val="auto"/>
        <w:rPr>
          <w:rFonts w:hint="eastAsia" w:ascii="黑体" w:hAnsi="黑体" w:eastAsia="黑体"/>
          <w:color w:val="auto"/>
        </w:rPr>
      </w:pPr>
      <w:r>
        <w:rPr>
          <w:rFonts w:hint="eastAsia" w:ascii="黑体" w:hAnsi="黑体" w:eastAsia="黑体"/>
          <w:color w:val="auto"/>
        </w:rPr>
        <w:t>二、采购人的采购需求</w:t>
      </w:r>
      <w:bookmarkEnd w:id="2"/>
      <w:bookmarkEnd w:id="3"/>
    </w:p>
    <w:tbl>
      <w:tblPr>
        <w:tblStyle w:val="11"/>
        <w:tblW w:w="8817" w:type="dxa"/>
        <w:tblInd w:w="534" w:type="dxa"/>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719"/>
        <w:gridCol w:w="1890"/>
        <w:gridCol w:w="1386"/>
        <w:gridCol w:w="1053"/>
        <w:gridCol w:w="1996"/>
        <w:gridCol w:w="1773"/>
      </w:tblGrid>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658" w:hRule="atLeast"/>
        </w:trPr>
        <w:tc>
          <w:tcPr>
            <w:tcW w:w="719" w:type="dxa"/>
            <w:tcBorders>
              <w:right w:val="single" w:color="auto" w:sz="4" w:space="0"/>
            </w:tcBorders>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序号</w:t>
            </w:r>
          </w:p>
        </w:tc>
        <w:tc>
          <w:tcPr>
            <w:tcW w:w="1890" w:type="dxa"/>
            <w:tcBorders>
              <w:left w:val="single" w:color="auto" w:sz="4" w:space="0"/>
            </w:tcBorders>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asciiTheme="minorEastAsia" w:hAnsiTheme="minorEastAsia" w:eastAsiaTheme="minorEastAsia"/>
                <w:color w:val="auto"/>
                <w:kern w:val="0"/>
              </w:rPr>
              <w:t>包名称</w:t>
            </w:r>
          </w:p>
        </w:tc>
        <w:tc>
          <w:tcPr>
            <w:tcW w:w="1386" w:type="dxa"/>
            <w:tcBorders>
              <w:right w:val="single" w:color="auto" w:sz="4" w:space="0"/>
            </w:tcBorders>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简要技术要求</w:t>
            </w:r>
          </w:p>
        </w:tc>
        <w:tc>
          <w:tcPr>
            <w:tcW w:w="1053" w:type="dxa"/>
            <w:tcBorders>
              <w:left w:val="single" w:color="auto" w:sz="4" w:space="0"/>
              <w:right w:val="single" w:color="auto" w:sz="4" w:space="0"/>
            </w:tcBorders>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数量</w:t>
            </w:r>
          </w:p>
        </w:tc>
        <w:tc>
          <w:tcPr>
            <w:tcW w:w="1996" w:type="dxa"/>
            <w:tcBorders>
              <w:left w:val="single" w:color="auto" w:sz="4" w:space="0"/>
            </w:tcBorders>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采购项目最高限价</w:t>
            </w:r>
          </w:p>
          <w:p>
            <w:pPr>
              <w:pageBreakBefore w:val="0"/>
              <w:widowControl/>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（元人民币）</w:t>
            </w:r>
          </w:p>
        </w:tc>
        <w:tc>
          <w:tcPr>
            <w:tcW w:w="1773" w:type="dxa"/>
            <w:vAlign w:val="center"/>
          </w:tcPr>
          <w:p>
            <w:pPr>
              <w:pageBreakBefore w:val="0"/>
              <w:widowControl/>
              <w:kinsoku/>
              <w:wordWrap/>
              <w:overflowPunct/>
              <w:topLinePunct w:val="0"/>
              <w:autoSpaceDE/>
              <w:autoSpaceDN/>
              <w:bidi w:val="0"/>
              <w:adjustRightInd w:val="0"/>
              <w:snapToGrid w:val="0"/>
              <w:spacing w:line="360" w:lineRule="exact"/>
              <w:jc w:val="center"/>
              <w:textAlignment w:val="auto"/>
              <w:rPr>
                <w:rFonts w:hint="default" w:cs="宋体" w:asciiTheme="minorEastAsia" w:hAnsiTheme="minorEastAsia" w:eastAsiaTheme="minorEastAsia"/>
                <w:color w:val="auto"/>
                <w:kern w:val="0"/>
                <w:szCs w:val="21"/>
                <w:lang w:val="en-US" w:eastAsia="zh-CN"/>
              </w:rPr>
            </w:pPr>
            <w:r>
              <w:rPr>
                <w:rFonts w:hint="eastAsia" w:cs="宋体" w:asciiTheme="minorEastAsia" w:hAnsiTheme="minorEastAsia" w:eastAsiaTheme="minorEastAsia"/>
                <w:color w:val="auto"/>
                <w:kern w:val="0"/>
                <w:szCs w:val="21"/>
              </w:rPr>
              <w:t>代理服务收费最高限价</w:t>
            </w:r>
            <w:r>
              <w:rPr>
                <w:rFonts w:hint="eastAsia" w:cs="宋体" w:asciiTheme="minorEastAsia" w:hAnsiTheme="minorEastAsia" w:eastAsiaTheme="minorEastAsia"/>
                <w:color w:val="auto"/>
                <w:kern w:val="0"/>
                <w:szCs w:val="21"/>
                <w:lang w:eastAsia="zh-CN"/>
              </w:rPr>
              <w:t>（</w:t>
            </w:r>
            <w:r>
              <w:rPr>
                <w:rFonts w:hint="eastAsia" w:cs="宋体" w:asciiTheme="minorEastAsia" w:hAnsiTheme="minorEastAsia" w:eastAsiaTheme="minorEastAsia"/>
                <w:color w:val="auto"/>
                <w:kern w:val="0"/>
                <w:szCs w:val="21"/>
                <w:lang w:val="en-US" w:eastAsia="zh-CN"/>
              </w:rPr>
              <w:t>元）</w:t>
            </w:r>
          </w:p>
        </w:tc>
      </w:tr>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316" w:hRule="atLeast"/>
        </w:trPr>
        <w:tc>
          <w:tcPr>
            <w:tcW w:w="719" w:type="dxa"/>
            <w:tcBorders>
              <w:right w:val="single" w:color="auto" w:sz="4" w:space="0"/>
            </w:tcBorders>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olor w:val="auto"/>
                <w:kern w:val="0"/>
              </w:rPr>
            </w:pPr>
          </w:p>
          <w:p>
            <w:pPr>
              <w:pStyle w:val="3"/>
              <w:pageBreakBefore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olor w:val="auto"/>
                <w:kern w:val="0"/>
              </w:rPr>
            </w:pPr>
          </w:p>
          <w:p>
            <w:pPr>
              <w:pStyle w:val="3"/>
              <w:pageBreakBefore w:val="0"/>
              <w:kinsoku/>
              <w:wordWrap/>
              <w:overflowPunct/>
              <w:topLinePunct w:val="0"/>
              <w:autoSpaceDE/>
              <w:autoSpaceDN/>
              <w:bidi w:val="0"/>
              <w:adjustRightInd w:val="0"/>
              <w:snapToGrid w:val="0"/>
              <w:spacing w:line="360" w:lineRule="exact"/>
              <w:jc w:val="center"/>
              <w:textAlignment w:val="auto"/>
              <w:rPr>
                <w:rFonts w:asciiTheme="minorEastAsia" w:hAnsiTheme="minorEastAsia" w:eastAsiaTheme="minorEastAsia"/>
                <w:color w:val="auto"/>
                <w:kern w:val="0"/>
              </w:rPr>
            </w:pPr>
            <w:r>
              <w:rPr>
                <w:rFonts w:hint="eastAsia" w:asciiTheme="minorEastAsia" w:hAnsiTheme="minorEastAsia" w:eastAsiaTheme="minorEastAsia"/>
                <w:color w:val="auto"/>
                <w:kern w:val="0"/>
              </w:rPr>
              <w:t>01</w:t>
            </w:r>
          </w:p>
        </w:tc>
        <w:tc>
          <w:tcPr>
            <w:tcW w:w="1890" w:type="dxa"/>
            <w:tcBorders>
              <w:left w:val="single" w:color="auto" w:sz="4" w:space="0"/>
            </w:tcBorders>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olor w:val="auto"/>
                <w:kern w:val="0"/>
                <w:lang w:eastAsia="zh-CN"/>
              </w:rPr>
            </w:pPr>
            <w:r>
              <w:rPr>
                <w:rFonts w:hint="eastAsia" w:asciiTheme="minorEastAsia" w:hAnsiTheme="minorEastAsia" w:eastAsiaTheme="minorEastAsia"/>
                <w:color w:val="auto"/>
                <w:kern w:val="0"/>
                <w:lang w:eastAsia="zh-CN"/>
              </w:rPr>
              <w:t>湖南财经工业职业技术学院人事科研一体化信息管理平台项目</w:t>
            </w:r>
          </w:p>
        </w:tc>
        <w:tc>
          <w:tcPr>
            <w:tcW w:w="1386" w:type="dxa"/>
            <w:tcBorders>
              <w:right w:val="single" w:color="auto" w:sz="4" w:space="0"/>
            </w:tcBorders>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asciiTheme="minorEastAsia" w:hAnsiTheme="minorEastAsia" w:eastAsiaTheme="minorEastAsia"/>
                <w:color w:val="auto"/>
                <w:kern w:val="0"/>
              </w:rPr>
            </w:pPr>
            <w:r>
              <w:rPr>
                <w:rFonts w:hint="eastAsia" w:cs="Times New Roman" w:asciiTheme="minorEastAsia" w:hAnsiTheme="minorEastAsia" w:eastAsiaTheme="minorEastAsia"/>
                <w:color w:val="auto"/>
              </w:rPr>
              <w:t>详见</w:t>
            </w:r>
            <w:r>
              <w:rPr>
                <w:rFonts w:hint="eastAsia" w:cs="Times New Roman" w:asciiTheme="minorEastAsia" w:hAnsiTheme="minorEastAsia" w:eastAsiaTheme="minorEastAsia"/>
                <w:color w:val="auto"/>
                <w:lang w:eastAsia="zh-CN"/>
              </w:rPr>
              <w:t>磋商文件</w:t>
            </w:r>
            <w:r>
              <w:rPr>
                <w:rFonts w:hint="eastAsia" w:cs="Times New Roman" w:asciiTheme="minorEastAsia" w:hAnsiTheme="minorEastAsia" w:eastAsiaTheme="minorEastAsia"/>
                <w:color w:val="auto"/>
              </w:rPr>
              <w:t>采购需求</w:t>
            </w:r>
          </w:p>
        </w:tc>
        <w:tc>
          <w:tcPr>
            <w:tcW w:w="1053" w:type="dxa"/>
            <w:tcBorders>
              <w:left w:val="single" w:color="auto" w:sz="4" w:space="0"/>
              <w:right w:val="single" w:color="auto" w:sz="4" w:space="0"/>
            </w:tcBorders>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hint="default" w:asciiTheme="minorEastAsia" w:hAnsiTheme="minorEastAsia" w:eastAsiaTheme="minorEastAsia"/>
                <w:color w:val="auto"/>
                <w:kern w:val="0"/>
                <w:lang w:val="en-US" w:eastAsia="zh-CN"/>
              </w:rPr>
            </w:pPr>
            <w:r>
              <w:rPr>
                <w:rFonts w:hint="eastAsia" w:asciiTheme="minorEastAsia" w:hAnsiTheme="minorEastAsia" w:eastAsiaTheme="minorEastAsia"/>
                <w:color w:val="auto"/>
                <w:kern w:val="0"/>
                <w:lang w:val="en-US" w:eastAsia="zh-CN"/>
              </w:rPr>
              <w:t>1项</w:t>
            </w:r>
          </w:p>
        </w:tc>
        <w:tc>
          <w:tcPr>
            <w:tcW w:w="1996" w:type="dxa"/>
            <w:tcBorders>
              <w:left w:val="single" w:color="auto" w:sz="4" w:space="0"/>
            </w:tcBorders>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hint="default" w:asciiTheme="minorEastAsia" w:hAnsiTheme="minorEastAsia" w:eastAsiaTheme="minorEastAsia"/>
                <w:color w:val="auto"/>
                <w:kern w:val="0"/>
                <w:sz w:val="21"/>
                <w:szCs w:val="21"/>
                <w:lang w:val="en-US"/>
              </w:rPr>
            </w:pPr>
          </w:p>
        </w:tc>
        <w:tc>
          <w:tcPr>
            <w:tcW w:w="1773" w:type="dxa"/>
            <w:vAlign w:val="center"/>
          </w:tcPr>
          <w:p>
            <w:pPr>
              <w:pStyle w:val="3"/>
              <w:pageBreakBefore w:val="0"/>
              <w:kinsoku/>
              <w:wordWrap/>
              <w:overflowPunct/>
              <w:topLinePunct w:val="0"/>
              <w:autoSpaceDE/>
              <w:autoSpaceDN/>
              <w:bidi w:val="0"/>
              <w:adjustRightInd w:val="0"/>
              <w:snapToGrid w:val="0"/>
              <w:spacing w:line="360" w:lineRule="exact"/>
              <w:jc w:val="center"/>
              <w:textAlignment w:val="auto"/>
              <w:rPr>
                <w:rFonts w:hint="default" w:asciiTheme="minorEastAsia" w:hAnsiTheme="minorEastAsia" w:eastAsiaTheme="minorEastAsia"/>
                <w:color w:val="auto"/>
                <w:kern w:val="0"/>
                <w:sz w:val="21"/>
                <w:szCs w:val="21"/>
                <w:lang w:val="en-US" w:eastAsia="zh-CN"/>
              </w:rPr>
            </w:pPr>
          </w:p>
        </w:tc>
      </w:tr>
    </w:tbl>
    <w:p>
      <w:pPr>
        <w:pageBreakBefore w:val="0"/>
        <w:numPr>
          <w:ilvl w:val="0"/>
          <w:numId w:val="1"/>
        </w:numPr>
        <w:kinsoku/>
        <w:wordWrap/>
        <w:overflowPunct/>
        <w:topLinePunct w:val="0"/>
        <w:autoSpaceDE/>
        <w:autoSpaceDN/>
        <w:bidi w:val="0"/>
        <w:adjustRightInd w:val="0"/>
        <w:snapToGrid w:val="0"/>
        <w:spacing w:line="360" w:lineRule="exact"/>
        <w:ind w:firstLine="422" w:firstLineChars="200"/>
        <w:textAlignment w:val="auto"/>
        <w:rPr>
          <w:rFonts w:asciiTheme="minorEastAsia" w:hAnsiTheme="minorEastAsia" w:eastAsiaTheme="minorEastAsia"/>
          <w:color w:val="auto"/>
          <w:szCs w:val="21"/>
        </w:rPr>
      </w:pPr>
      <w:r>
        <w:rPr>
          <w:rFonts w:hint="eastAsia" w:asciiTheme="minorEastAsia" w:hAnsiTheme="minorEastAsia" w:eastAsiaTheme="minorEastAsia"/>
          <w:b/>
          <w:color w:val="auto"/>
          <w:szCs w:val="21"/>
        </w:rPr>
        <w:t>采购项目需要落实的政府采购政策</w:t>
      </w:r>
      <w:r>
        <w:rPr>
          <w:rFonts w:hint="eastAsia" w:asciiTheme="minorEastAsia" w:hAnsiTheme="minorEastAsia" w:eastAsiaTheme="minorEastAsia"/>
          <w:color w:val="auto"/>
          <w:szCs w:val="21"/>
        </w:rPr>
        <w:t>：</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asciiTheme="minorEastAsia" w:hAnsiTheme="minorEastAsia" w:eastAsiaTheme="minorEastAsia"/>
          <w:iCs/>
          <w:color w:val="auto"/>
          <w:szCs w:val="21"/>
        </w:rPr>
      </w:pPr>
      <w:r>
        <w:rPr>
          <w:rFonts w:hint="eastAsia" w:asciiTheme="minorEastAsia" w:hAnsiTheme="minorEastAsia" w:eastAsiaTheme="minorEastAsia"/>
          <w:iCs/>
          <w:color w:val="auto"/>
          <w:szCs w:val="21"/>
        </w:rPr>
        <w:t>（1）强制采购：</w:t>
      </w:r>
      <w:r>
        <w:rPr>
          <w:rFonts w:hint="eastAsia" w:asciiTheme="minorEastAsia" w:hAnsiTheme="minorEastAsia" w:eastAsiaTheme="minorEastAsia"/>
          <w:iCs/>
          <w:color w:val="auto"/>
          <w:szCs w:val="21"/>
          <w:lang w:val="en-US" w:eastAsia="zh-CN"/>
        </w:rPr>
        <w:t>/</w:t>
      </w:r>
      <w:r>
        <w:rPr>
          <w:rFonts w:hint="eastAsia" w:asciiTheme="minorEastAsia" w:hAnsiTheme="minorEastAsia" w:eastAsiaTheme="minorEastAsia"/>
          <w:iCs/>
          <w:color w:val="auto"/>
          <w:szCs w:val="21"/>
        </w:rPr>
        <w:t xml:space="preserve">     </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Theme="minorEastAsia" w:hAnsiTheme="minorEastAsia" w:eastAsiaTheme="minorEastAsia"/>
          <w:iCs/>
          <w:color w:val="auto"/>
          <w:szCs w:val="21"/>
          <w:lang w:eastAsia="zh-CN"/>
        </w:rPr>
      </w:pPr>
      <w:r>
        <w:rPr>
          <w:rFonts w:hint="eastAsia" w:asciiTheme="minorEastAsia" w:hAnsiTheme="minorEastAsia" w:eastAsiaTheme="minorEastAsia"/>
          <w:iCs/>
          <w:color w:val="auto"/>
          <w:szCs w:val="21"/>
        </w:rPr>
        <w:t>（2）优先采购：</w:t>
      </w:r>
      <w:r>
        <w:rPr>
          <w:rFonts w:hint="eastAsia" w:asciiTheme="minorEastAsia" w:hAnsiTheme="minorEastAsia" w:eastAsiaTheme="minorEastAsia"/>
          <w:iCs/>
          <w:color w:val="auto"/>
          <w:szCs w:val="21"/>
          <w:lang w:val="en-US" w:eastAsia="zh-CN"/>
        </w:rPr>
        <w:t>/</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asciiTheme="minorEastAsia" w:hAnsiTheme="minorEastAsia" w:eastAsiaTheme="minorEastAsia"/>
          <w:iCs/>
          <w:color w:val="auto"/>
          <w:szCs w:val="21"/>
        </w:rPr>
      </w:pPr>
      <w:r>
        <w:rPr>
          <w:rFonts w:hint="eastAsia" w:asciiTheme="minorEastAsia" w:hAnsiTheme="minorEastAsia" w:eastAsiaTheme="minorEastAsia"/>
          <w:iCs/>
          <w:color w:val="auto"/>
          <w:szCs w:val="21"/>
        </w:rPr>
        <w:t>（3）价格评审优惠：政府采购促进中小企业发展（包括政府采购支持监狱企业发展、政府采购促进残疾人就业）。</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ascii="宋体" w:hAnsi="宋体"/>
          <w:color w:val="auto"/>
          <w:szCs w:val="21"/>
        </w:rPr>
      </w:pPr>
      <w:r>
        <w:rPr>
          <w:rFonts w:hint="eastAsia" w:asciiTheme="minorEastAsia" w:hAnsiTheme="minorEastAsia" w:eastAsiaTheme="minorEastAsia"/>
          <w:color w:val="auto"/>
          <w:szCs w:val="21"/>
        </w:rPr>
        <w:t>2、</w:t>
      </w:r>
      <w:r>
        <w:rPr>
          <w:rFonts w:hint="eastAsia" w:asciiTheme="minorEastAsia" w:hAnsiTheme="minorEastAsia" w:eastAsiaTheme="minorEastAsia"/>
          <w:b/>
          <w:color w:val="auto"/>
          <w:szCs w:val="21"/>
        </w:rPr>
        <w:t>采购进口产品</w:t>
      </w:r>
      <w:r>
        <w:rPr>
          <w:rFonts w:hint="eastAsia" w:asciiTheme="minorEastAsia" w:hAnsiTheme="minorEastAsia" w:eastAsiaTheme="minorEastAsia"/>
          <w:color w:val="auto"/>
          <w:szCs w:val="21"/>
        </w:rPr>
        <w:t>：</w:t>
      </w:r>
      <w:r>
        <w:rPr>
          <w:rFonts w:hint="eastAsia" w:asciiTheme="minorEastAsia" w:hAnsiTheme="minorEastAsia"/>
          <w:color w:val="auto"/>
          <w:szCs w:val="21"/>
        </w:rPr>
        <w:t>本采购项目拒绝进口产品投标。</w:t>
      </w:r>
    </w:p>
    <w:p>
      <w:pPr>
        <w:pStyle w:val="4"/>
        <w:pageBreakBefore w:val="0"/>
        <w:kinsoku/>
        <w:wordWrap/>
        <w:overflowPunct/>
        <w:topLinePunct w:val="0"/>
        <w:autoSpaceDE/>
        <w:autoSpaceDN/>
        <w:bidi w:val="0"/>
        <w:adjustRightInd w:val="0"/>
        <w:snapToGrid w:val="0"/>
        <w:spacing w:before="156" w:beforeLines="50" w:line="360" w:lineRule="exact"/>
        <w:textAlignment w:val="auto"/>
        <w:rPr>
          <w:rFonts w:ascii="黑体" w:hAnsi="黑体" w:eastAsia="黑体"/>
          <w:color w:val="auto"/>
        </w:rPr>
      </w:pPr>
      <w:bookmarkStart w:id="4" w:name="_Toc22201057"/>
      <w:bookmarkStart w:id="5" w:name="_Toc6653"/>
      <w:r>
        <w:rPr>
          <w:rFonts w:hint="eastAsia" w:ascii="黑体" w:hAnsi="黑体" w:eastAsia="黑体"/>
          <w:color w:val="auto"/>
        </w:rPr>
        <w:t>三、供应商的资格要求</w:t>
      </w:r>
      <w:bookmarkEnd w:id="4"/>
      <w:bookmarkEnd w:id="5"/>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1、供应商的基本资格条件：供应商必须是在中华人民共和国境内注册登记的法人、其他组织或者自然人，且应当符合《政府采购法》第二十二条第一款的规定，即：</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（1）具有独立承担民事责任的能力；</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（2）具有良好的商业信誉和健全的财务会计制度；</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（3）具有履行合同所必需的设备和专业技术能力；</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（4）有依法缴纳税收和社会保障资金的良好记录；</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（5）参加政府采购活动前三年内，在经营活动中没有重大违法记录；</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（6）法律、行政法规规定的其他条件。</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color w:val="auto"/>
          <w:szCs w:val="21"/>
          <w:lang w:val="en-US" w:eastAsia="zh-CN"/>
        </w:rPr>
      </w:pPr>
      <w:r>
        <w:rPr>
          <w:rFonts w:hint="eastAsia" w:ascii="宋体" w:hAnsi="宋体"/>
          <w:color w:val="auto"/>
          <w:szCs w:val="21"/>
        </w:rPr>
        <w:t>2、采购项目的特定资格条件：</w:t>
      </w:r>
      <w:r>
        <w:rPr>
          <w:rFonts w:hint="eastAsia" w:ascii="宋体" w:hAnsi="宋体"/>
          <w:color w:val="auto"/>
          <w:szCs w:val="21"/>
          <w:lang w:val="en-US" w:eastAsia="zh-CN"/>
        </w:rPr>
        <w:t>无</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eastAsia="宋体"/>
          <w:color w:val="auto"/>
          <w:szCs w:val="21"/>
        </w:rPr>
      </w:pPr>
      <w:r>
        <w:rPr>
          <w:rFonts w:hint="eastAsia" w:ascii="宋体" w:hAnsi="宋体" w:eastAsia="宋体"/>
          <w:color w:val="auto"/>
          <w:szCs w:val="21"/>
        </w:rPr>
        <w:t>3、单位负责人为同一人或者存在直接控股、管理关系的不同供应商，不得参加同一合同项下的政府采购活动。</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eastAsia="宋体"/>
          <w:color w:val="auto"/>
          <w:szCs w:val="21"/>
        </w:rPr>
      </w:pPr>
      <w:r>
        <w:rPr>
          <w:rFonts w:hint="eastAsia" w:ascii="宋体" w:hAnsi="宋体" w:eastAsia="宋体"/>
          <w:color w:val="auto"/>
          <w:szCs w:val="21"/>
        </w:rPr>
        <w:t>4、为本采购项目提供整体设计、规范编制或者项目管理、监理、检测等服务的，不得再参加此项目的其他采购活动。</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5、列入失信被执行人、重大税收违法案件当事人名单，列入政府采购严重违法失信行为记录名单的，拒绝其参与政府采购活动。</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color w:val="auto"/>
        </w:rPr>
      </w:pPr>
      <w:r>
        <w:rPr>
          <w:rFonts w:hint="eastAsia" w:ascii="宋体" w:hAnsi="宋体"/>
          <w:color w:val="auto"/>
          <w:szCs w:val="21"/>
        </w:rPr>
        <w:t>6、</w:t>
      </w:r>
      <w:r>
        <w:rPr>
          <w:rFonts w:hint="eastAsia" w:asciiTheme="minorEastAsia" w:hAnsiTheme="minorEastAsia" w:eastAsiaTheme="minorEastAsia"/>
          <w:color w:val="auto"/>
          <w:szCs w:val="21"/>
        </w:rPr>
        <w:t>联合体投标。本次招标不接受联合体投标。</w:t>
      </w:r>
    </w:p>
    <w:p>
      <w:pPr>
        <w:pStyle w:val="4"/>
        <w:pageBreakBefore w:val="0"/>
        <w:kinsoku/>
        <w:wordWrap/>
        <w:overflowPunct/>
        <w:topLinePunct w:val="0"/>
        <w:autoSpaceDE/>
        <w:autoSpaceDN/>
        <w:bidi w:val="0"/>
        <w:adjustRightInd w:val="0"/>
        <w:snapToGrid w:val="0"/>
        <w:spacing w:before="156" w:beforeLines="50" w:line="360" w:lineRule="exact"/>
        <w:textAlignment w:val="auto"/>
        <w:rPr>
          <w:rFonts w:ascii="黑体" w:hAnsi="黑体" w:eastAsia="黑体"/>
          <w:color w:val="auto"/>
        </w:rPr>
      </w:pPr>
      <w:bookmarkStart w:id="6" w:name="_Toc7570"/>
      <w:bookmarkStart w:id="7" w:name="_Toc22201060"/>
      <w:r>
        <w:rPr>
          <w:rFonts w:hint="eastAsia" w:ascii="黑体" w:hAnsi="黑体" w:eastAsia="黑体"/>
          <w:color w:val="auto"/>
        </w:rPr>
        <w:t>四、获取磋商文件、地点、方式及磋商文件售价</w:t>
      </w:r>
    </w:p>
    <w:p>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cs="宋体"/>
          <w:b w:val="0"/>
          <w:bCs/>
          <w:color w:val="000000" w:themeColor="text1"/>
          <w:sz w:val="21"/>
          <w:szCs w:val="21"/>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t>（1）凡有意参加投标者，请于</w:t>
      </w:r>
      <w:r>
        <w:rPr>
          <w:rFonts w:hint="eastAsia" w:ascii="宋体" w:hAnsi="宋体" w:eastAsia="宋体" w:cs="宋体"/>
          <w:b w:val="0"/>
          <w:bCs/>
          <w:color w:val="0000FF"/>
          <w:sz w:val="21"/>
          <w:szCs w:val="21"/>
          <w:highlight w:val="none"/>
          <w:u w:val="none"/>
          <w:lang w:val="en-US" w:eastAsia="zh-CN"/>
        </w:rPr>
        <w:t>2021年12月3日起至 2021年12月10日</w:t>
      </w:r>
      <w:r>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t>，每日上午9:00时-12:00时，15:00时-17:00时(北京时</w:t>
      </w:r>
      <w:bookmarkStart w:id="10" w:name="_GoBack"/>
      <w:bookmarkEnd w:id="10"/>
      <w:r>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t>间，节假日除外)</w:t>
      </w:r>
      <w:r>
        <w:rPr>
          <w:rFonts w:hint="eastAsia" w:ascii="宋体" w:hAnsi="宋体" w:cs="宋体"/>
          <w:b w:val="0"/>
          <w:bCs/>
          <w:color w:val="000000" w:themeColor="text1"/>
          <w:sz w:val="21"/>
          <w:szCs w:val="21"/>
          <w:highlight w:val="none"/>
          <w:u w:val="none"/>
          <w:lang w:val="en-US" w:eastAsia="zh-CN"/>
          <w14:textFill>
            <w14:solidFill>
              <w14:schemeClr w14:val="tx1"/>
            </w14:solidFill>
          </w14:textFill>
        </w:rPr>
        <w:t>到湖南润下项目管理有限责任公司</w:t>
      </w:r>
      <w:r>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t>(衡阳市高新区长丰大道汇景花园1栋1单元716室)</w:t>
      </w:r>
      <w:r>
        <w:rPr>
          <w:rFonts w:hint="eastAsia" w:ascii="宋体" w:hAnsi="宋体" w:cs="宋体"/>
          <w:b w:val="0"/>
          <w:bCs/>
          <w:color w:val="000000" w:themeColor="text1"/>
          <w:sz w:val="21"/>
          <w:szCs w:val="21"/>
          <w:lang w:eastAsia="zh-CN"/>
          <w14:textFill>
            <w14:solidFill>
              <w14:schemeClr w14:val="tx1"/>
            </w14:solidFill>
          </w14:textFill>
        </w:rPr>
        <w:t>持以下合法有效的资格证明文件购买磋商文件：</w:t>
      </w:r>
      <w:r>
        <w:rPr>
          <w:rFonts w:hint="eastAsia" w:ascii="宋体" w:hAnsi="宋体" w:cs="宋体"/>
          <w:b w:val="0"/>
          <w:bCs/>
          <w:color w:val="000000" w:themeColor="text1"/>
          <w:sz w:val="21"/>
          <w:szCs w:val="21"/>
          <w:lang w:val="en-US" w:eastAsia="zh-CN"/>
          <w14:textFill>
            <w14:solidFill>
              <w14:schemeClr w14:val="tx1"/>
            </w14:solidFill>
          </w14:textFill>
        </w:rPr>
        <w:t xml:space="preserve">          </w:t>
      </w:r>
    </w:p>
    <w:p>
      <w:pPr>
        <w:keepNext w:val="0"/>
        <w:keepLines w:val="0"/>
        <w:pageBreakBefore w:val="0"/>
        <w:widowControl/>
        <w:kinsoku/>
        <w:wordWrap/>
        <w:overflowPunct/>
        <w:topLinePunct w:val="0"/>
        <w:autoSpaceDE/>
        <w:autoSpaceDN/>
        <w:bidi w:val="0"/>
        <w:adjustRightInd w:val="0"/>
        <w:snapToGrid w:val="0"/>
        <w:spacing w:line="360" w:lineRule="exact"/>
        <w:ind w:firstLine="0" w:firstLineChars="0"/>
        <w:textAlignment w:val="auto"/>
        <w:rPr>
          <w:rFonts w:hint="eastAsia" w:ascii="宋体" w:hAnsi="宋体" w:cs="宋体"/>
          <w:b w:val="0"/>
          <w:bCs/>
          <w:color w:val="000000" w:themeColor="text1"/>
          <w:sz w:val="21"/>
          <w:szCs w:val="21"/>
          <w:lang w:val="en-US" w:eastAsia="zh-CN"/>
          <w14:textFill>
            <w14:solidFill>
              <w14:schemeClr w14:val="tx1"/>
            </w14:solidFill>
          </w14:textFill>
        </w:rPr>
      </w:pPr>
      <w:r>
        <w:rPr>
          <w:rFonts w:hint="eastAsia" w:ascii="宋体" w:hAnsi="宋体" w:cs="宋体"/>
          <w:b w:val="0"/>
          <w:bCs/>
          <w:color w:val="000000" w:themeColor="text1"/>
          <w:sz w:val="21"/>
          <w:szCs w:val="21"/>
          <w:lang w:val="en-US" w:eastAsia="zh-CN"/>
          <w14:textFill>
            <w14:solidFill>
              <w14:schemeClr w14:val="tx1"/>
            </w14:solidFill>
          </w14:textFill>
        </w:rPr>
        <w:t xml:space="preserve">    </w:t>
      </w:r>
      <w:r>
        <w:rPr>
          <w:rFonts w:hint="eastAsia" w:ascii="宋体" w:hAnsi="宋体" w:cs="宋体"/>
          <w:b w:val="0"/>
          <w:bCs/>
          <w:color w:val="000000" w:themeColor="text1"/>
          <w:sz w:val="21"/>
          <w:szCs w:val="21"/>
          <w:lang w:eastAsia="zh-CN"/>
          <w14:textFill>
            <w14:solidFill>
              <w14:schemeClr w14:val="tx1"/>
            </w14:solidFill>
          </w14:textFill>
        </w:rPr>
        <w:t>①</w:t>
      </w:r>
      <w:r>
        <w:rPr>
          <w:rFonts w:hint="eastAsia" w:ascii="宋体" w:hAnsi="宋体" w:cs="宋体"/>
          <w:b w:val="0"/>
          <w:bCs/>
          <w:color w:val="000000" w:themeColor="text1"/>
          <w:sz w:val="21"/>
          <w:szCs w:val="21"/>
          <w:lang w:val="en-US" w:eastAsia="zh-CN"/>
          <w14:textFill>
            <w14:solidFill>
              <w14:schemeClr w14:val="tx1"/>
            </w14:solidFill>
          </w14:textFill>
        </w:rPr>
        <w:t>由投标单位法人持本人身份证原件和法定代表人身份证明或者授权委托人持授权委托书和委托人本人身份证原件；</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000000" w:themeColor="text1"/>
          <w:sz w:val="21"/>
          <w:szCs w:val="21"/>
          <w:lang w:val="en-US" w:eastAsia="zh-CN"/>
          <w14:textFill>
            <w14:solidFill>
              <w14:schemeClr w14:val="tx1"/>
            </w14:solidFill>
          </w14:textFill>
        </w:rPr>
      </w:pPr>
      <w:r>
        <w:rPr>
          <w:rFonts w:hint="eastAsia" w:ascii="宋体" w:hAnsi="宋体" w:cs="宋体"/>
          <w:b w:val="0"/>
          <w:bCs/>
          <w:color w:val="000000" w:themeColor="text1"/>
          <w:sz w:val="21"/>
          <w:szCs w:val="21"/>
          <w:lang w:eastAsia="zh-CN"/>
          <w14:textFill>
            <w14:solidFill>
              <w14:schemeClr w14:val="tx1"/>
            </w14:solidFill>
          </w14:textFill>
        </w:rPr>
        <w:t>②营业执照副本、税务登记证 、企业组织机构代码证 ；（注：已获取“统一社会信用代码”的“三证合一”企业，视同为执有工商营业执照、组织机构代码证、税务登记证；已获取“统一社会信用代码”的“五证合一”企业，视同为执有工商营业执照、组织机构代码证、税务登记证</w:t>
      </w:r>
      <w:r>
        <w:rPr>
          <w:rFonts w:hint="eastAsia" w:ascii="宋体" w:hAnsi="宋体" w:eastAsia="宋体" w:cs="宋体"/>
          <w:b w:val="0"/>
          <w:bCs/>
          <w:color w:val="000000" w:themeColor="text1"/>
          <w:sz w:val="21"/>
          <w:szCs w:val="21"/>
          <w:lang w:eastAsia="zh-CN"/>
          <w14:textFill>
            <w14:solidFill>
              <w14:schemeClr w14:val="tx1"/>
            </w14:solidFill>
          </w14:textFill>
        </w:rPr>
        <w:t>、社会保险登记证；）</w:t>
      </w:r>
      <w:r>
        <w:rPr>
          <w:rFonts w:hint="eastAsia" w:ascii="宋体" w:hAnsi="宋体" w:eastAsia="宋体" w:cs="宋体"/>
          <w:b w:val="0"/>
          <w:bCs/>
          <w:color w:val="000000" w:themeColor="text1"/>
          <w:sz w:val="21"/>
          <w:szCs w:val="21"/>
          <w:lang w:val="en-US" w:eastAsia="zh-CN"/>
          <w14:textFill>
            <w14:solidFill>
              <w14:schemeClr w14:val="tx1"/>
            </w14:solidFill>
          </w14:textFill>
        </w:rPr>
        <w:t>购买招标文件。</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000000" w:themeColor="text1"/>
          <w:sz w:val="21"/>
          <w:szCs w:val="21"/>
          <w:lang w:val="en-US" w:eastAsia="zh-CN"/>
          <w14:textFill>
            <w14:solidFill>
              <w14:schemeClr w14:val="tx1"/>
            </w14:solidFill>
          </w14:textFill>
        </w:rPr>
      </w:pPr>
      <w:r>
        <w:rPr>
          <w:rFonts w:hint="eastAsia" w:ascii="宋体" w:hAnsi="宋体" w:eastAsia="宋体" w:cs="宋体"/>
          <w:b w:val="0"/>
          <w:bCs/>
          <w:color w:val="000000" w:themeColor="text1"/>
          <w:sz w:val="21"/>
          <w:szCs w:val="21"/>
          <w:lang w:eastAsia="zh-CN"/>
          <w14:textFill>
            <w14:solidFill>
              <w14:schemeClr w14:val="tx1"/>
            </w14:solidFill>
          </w14:textFill>
        </w:rPr>
        <w:t>以上资料报名时须提交复印件一份，并加盖投标人公章。报名截止时间以后不接受报名。</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u w:val="none"/>
          <w:lang w:val="en-US" w:eastAsia="zh-CN"/>
          <w14:textFill>
            <w14:solidFill>
              <w14:schemeClr w14:val="tx1"/>
            </w14:solidFill>
          </w14:textFill>
        </w:rPr>
        <w:t>（2）招标文件发售价格：￥400 元/份，招标文件售后不退。</w:t>
      </w:r>
    </w:p>
    <w:p>
      <w:pPr>
        <w:pStyle w:val="4"/>
        <w:pageBreakBefore w:val="0"/>
        <w:kinsoku/>
        <w:wordWrap/>
        <w:overflowPunct/>
        <w:topLinePunct w:val="0"/>
        <w:autoSpaceDE/>
        <w:autoSpaceDN/>
        <w:bidi w:val="0"/>
        <w:adjustRightInd w:val="0"/>
        <w:snapToGrid w:val="0"/>
        <w:spacing w:before="156" w:beforeLines="50" w:line="360" w:lineRule="exact"/>
        <w:textAlignment w:val="auto"/>
        <w:rPr>
          <w:rFonts w:ascii="黑体" w:hAnsi="黑体" w:eastAsia="黑体"/>
          <w:color w:val="auto"/>
        </w:rPr>
      </w:pPr>
      <w:r>
        <w:rPr>
          <w:rFonts w:hint="eastAsia" w:ascii="黑体" w:hAnsi="黑体" w:eastAsia="黑体"/>
          <w:color w:val="auto"/>
          <w:lang w:eastAsia="zh-CN"/>
        </w:rPr>
        <w:t>五</w:t>
      </w:r>
      <w:r>
        <w:rPr>
          <w:rFonts w:hint="eastAsia" w:ascii="黑体" w:hAnsi="黑体" w:eastAsia="黑体"/>
          <w:color w:val="auto"/>
        </w:rPr>
        <w:t>、响应文件提交的截止时间、开启时间及地点</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1、首次响应文件的提交截止时间：2021年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15</w:t>
      </w:r>
      <w:r>
        <w:rPr>
          <w:rFonts w:hint="eastAsia" w:ascii="宋体" w:hAnsi="宋体"/>
          <w:color w:val="auto"/>
          <w:szCs w:val="21"/>
        </w:rPr>
        <w:t>日</w:t>
      </w:r>
      <w:r>
        <w:rPr>
          <w:rFonts w:hint="eastAsia" w:ascii="宋体" w:hAnsi="宋体"/>
          <w:color w:val="auto"/>
          <w:szCs w:val="21"/>
          <w:lang w:val="en-US" w:eastAsia="zh-CN"/>
        </w:rPr>
        <w:t>15</w:t>
      </w:r>
      <w:r>
        <w:rPr>
          <w:rFonts w:hint="eastAsia" w:ascii="宋体" w:hAnsi="宋体"/>
          <w:color w:val="auto"/>
          <w:szCs w:val="21"/>
        </w:rPr>
        <w:t>时00分（北京时间）</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rPr>
      </w:pPr>
      <w:r>
        <w:rPr>
          <w:rFonts w:hint="eastAsia" w:ascii="宋体" w:hAnsi="宋体"/>
          <w:color w:val="auto"/>
          <w:szCs w:val="21"/>
        </w:rPr>
        <w:t>2、首次响应文件的开启时间：2021年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15</w:t>
      </w:r>
      <w:r>
        <w:rPr>
          <w:rFonts w:hint="eastAsia" w:ascii="宋体" w:hAnsi="宋体"/>
          <w:color w:val="auto"/>
          <w:szCs w:val="21"/>
        </w:rPr>
        <w:t>日</w:t>
      </w:r>
      <w:r>
        <w:rPr>
          <w:rFonts w:hint="eastAsia" w:ascii="宋体" w:hAnsi="宋体"/>
          <w:color w:val="auto"/>
          <w:szCs w:val="21"/>
          <w:lang w:val="en-US" w:eastAsia="zh-CN"/>
        </w:rPr>
        <w:t>15</w:t>
      </w:r>
      <w:r>
        <w:rPr>
          <w:rFonts w:hint="eastAsia" w:ascii="宋体" w:hAnsi="宋体"/>
          <w:color w:val="auto"/>
          <w:szCs w:val="21"/>
        </w:rPr>
        <w:t>时00分（北京时间）</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eastAsia="宋体"/>
          <w:color w:val="auto"/>
          <w:szCs w:val="21"/>
          <w:lang w:eastAsia="zh-CN"/>
        </w:rPr>
      </w:pPr>
      <w:r>
        <w:rPr>
          <w:rFonts w:hint="eastAsia" w:ascii="宋体" w:hAnsi="宋体"/>
          <w:color w:val="auto"/>
          <w:szCs w:val="21"/>
        </w:rPr>
        <w:t>3、首次响应文件的开启地点：</w:t>
      </w:r>
      <w:r>
        <w:rPr>
          <w:rFonts w:hint="eastAsia" w:ascii="宋体" w:hAnsi="宋体"/>
          <w:color w:val="auto"/>
          <w:szCs w:val="21"/>
          <w:lang w:val="en-US" w:eastAsia="zh-CN"/>
        </w:rPr>
        <w:t>湖南润下项目管理有限责任公司会议室(衡阳市高新区长丰大道汇景花园1栋1单元716室)</w:t>
      </w:r>
    </w:p>
    <w:bookmarkEnd w:id="6"/>
    <w:bookmarkEnd w:id="7"/>
    <w:p>
      <w:pPr>
        <w:pageBreakBefore w:val="0"/>
        <w:kinsoku/>
        <w:wordWrap/>
        <w:overflowPunct/>
        <w:topLinePunct w:val="0"/>
        <w:autoSpaceDE/>
        <w:autoSpaceDN/>
        <w:bidi w:val="0"/>
        <w:adjustRightInd w:val="0"/>
        <w:snapToGrid w:val="0"/>
        <w:spacing w:line="360" w:lineRule="exact"/>
        <w:textAlignment w:val="auto"/>
        <w:rPr>
          <w:rFonts w:hint="eastAsia" w:ascii="黑体" w:hAnsi="黑体" w:eastAsia="黑体" w:cstheme="minorBidi"/>
          <w:b/>
          <w:bCs/>
          <w:color w:val="auto"/>
          <w:kern w:val="2"/>
          <w:sz w:val="24"/>
          <w:szCs w:val="32"/>
          <w:lang w:val="en-US" w:eastAsia="zh-CN" w:bidi="ar-SA"/>
        </w:rPr>
      </w:pPr>
      <w:bookmarkStart w:id="8" w:name="_Toc22201062"/>
      <w:bookmarkStart w:id="9" w:name="_Toc1424"/>
      <w:r>
        <w:rPr>
          <w:rFonts w:hint="eastAsia" w:ascii="黑体" w:hAnsi="黑体" w:eastAsia="黑体" w:cstheme="minorBidi"/>
          <w:b/>
          <w:bCs/>
          <w:color w:val="auto"/>
          <w:kern w:val="2"/>
          <w:sz w:val="24"/>
          <w:szCs w:val="32"/>
          <w:lang w:val="en-US" w:eastAsia="zh-CN" w:bidi="ar-SA"/>
        </w:rPr>
        <w:t>六、发布媒体</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auto"/>
          <w:sz w:val="21"/>
          <w:szCs w:val="21"/>
          <w:highlight w:val="none"/>
          <w:u w:val="none"/>
          <w:lang w:eastAsia="zh-CN"/>
        </w:rPr>
      </w:pPr>
      <w:r>
        <w:rPr>
          <w:rFonts w:hint="eastAsia" w:ascii="宋体" w:hAnsi="宋体" w:eastAsia="宋体" w:cs="宋体"/>
          <w:b w:val="0"/>
          <w:bCs/>
          <w:color w:val="auto"/>
          <w:sz w:val="21"/>
          <w:szCs w:val="21"/>
          <w:highlight w:val="none"/>
          <w:u w:val="none"/>
          <w:lang w:eastAsia="zh-CN"/>
        </w:rPr>
        <w:t>本采购项目相关信息在湖南财经工业职业技术学院</w:t>
      </w:r>
      <w:r>
        <w:rPr>
          <w:rFonts w:hint="eastAsia" w:ascii="宋体" w:hAnsi="宋体" w:cs="宋体"/>
          <w:b w:val="0"/>
          <w:bCs/>
          <w:color w:val="auto"/>
          <w:sz w:val="21"/>
          <w:szCs w:val="21"/>
          <w:highlight w:val="none"/>
          <w:u w:val="none"/>
          <w:lang w:eastAsia="zh-CN"/>
        </w:rPr>
        <w:t>官</w:t>
      </w:r>
      <w:r>
        <w:rPr>
          <w:rFonts w:hint="eastAsia" w:ascii="宋体" w:hAnsi="宋体" w:eastAsia="宋体" w:cs="宋体"/>
          <w:b w:val="0"/>
          <w:bCs/>
          <w:color w:val="auto"/>
          <w:sz w:val="21"/>
          <w:szCs w:val="21"/>
          <w:highlight w:val="none"/>
          <w:u w:val="none"/>
          <w:lang w:val="en-US" w:eastAsia="zh-CN"/>
        </w:rPr>
        <w:t>网</w:t>
      </w:r>
      <w:r>
        <w:rPr>
          <w:rFonts w:hint="eastAsia" w:ascii="宋体" w:hAnsi="宋体" w:eastAsia="宋体" w:cs="宋体"/>
          <w:b w:val="0"/>
          <w:bCs/>
          <w:color w:val="auto"/>
          <w:sz w:val="21"/>
          <w:szCs w:val="21"/>
          <w:highlight w:val="none"/>
          <w:u w:val="none"/>
          <w:lang w:eastAsia="zh-CN"/>
        </w:rPr>
        <w:t>（http://www.hycgy.com/）上发布。</w:t>
      </w:r>
    </w:p>
    <w:bookmarkEnd w:id="8"/>
    <w:bookmarkEnd w:id="9"/>
    <w:p>
      <w:pPr>
        <w:pageBreakBefore w:val="0"/>
        <w:kinsoku/>
        <w:wordWrap/>
        <w:overflowPunct/>
        <w:topLinePunct w:val="0"/>
        <w:autoSpaceDE/>
        <w:autoSpaceDN/>
        <w:bidi w:val="0"/>
        <w:adjustRightInd w:val="0"/>
        <w:snapToGrid w:val="0"/>
        <w:spacing w:line="360" w:lineRule="exact"/>
        <w:textAlignment w:val="auto"/>
        <w:rPr>
          <w:rFonts w:hint="eastAsia" w:ascii="黑体" w:hAnsi="黑体" w:eastAsia="黑体" w:cstheme="minorBidi"/>
          <w:b/>
          <w:bCs/>
          <w:color w:val="auto"/>
          <w:kern w:val="2"/>
          <w:sz w:val="24"/>
          <w:szCs w:val="32"/>
          <w:lang w:val="en-US" w:eastAsia="zh-CN" w:bidi="ar-SA"/>
        </w:rPr>
      </w:pPr>
      <w:r>
        <w:rPr>
          <w:rFonts w:hint="eastAsia" w:ascii="黑体" w:hAnsi="黑体" w:eastAsia="黑体" w:cstheme="minorBidi"/>
          <w:b/>
          <w:bCs/>
          <w:color w:val="auto"/>
          <w:kern w:val="2"/>
          <w:sz w:val="24"/>
          <w:szCs w:val="32"/>
          <w:lang w:val="en-US" w:eastAsia="zh-CN" w:bidi="ar-SA"/>
        </w:rPr>
        <w:t>七、采购人、采购代理机构名称、地址和联系方法</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auto"/>
          <w:sz w:val="21"/>
          <w:szCs w:val="21"/>
          <w:highlight w:val="none"/>
          <w:u w:val="none"/>
          <w:lang w:eastAsia="zh-CN"/>
        </w:rPr>
      </w:pPr>
      <w:r>
        <w:rPr>
          <w:rFonts w:hint="eastAsia" w:ascii="宋体" w:hAnsi="宋体" w:eastAsia="宋体" w:cs="宋体"/>
          <w:b w:val="0"/>
          <w:bCs/>
          <w:color w:val="auto"/>
          <w:sz w:val="21"/>
          <w:szCs w:val="21"/>
          <w:highlight w:val="none"/>
          <w:u w:val="none"/>
          <w:lang w:eastAsia="zh-CN"/>
        </w:rPr>
        <w:t>采购人</w:t>
      </w:r>
      <w:r>
        <w:rPr>
          <w:rFonts w:hint="eastAsia" w:ascii="宋体" w:hAnsi="宋体" w:eastAsia="宋体" w:cs="宋体"/>
          <w:b w:val="0"/>
          <w:bCs/>
          <w:color w:val="auto"/>
          <w:sz w:val="21"/>
          <w:szCs w:val="21"/>
          <w:highlight w:val="none"/>
          <w:u w:val="none"/>
        </w:rPr>
        <w:t>：</w:t>
      </w:r>
      <w:r>
        <w:rPr>
          <w:rFonts w:hint="eastAsia" w:ascii="宋体" w:hAnsi="宋体" w:eastAsia="宋体" w:cs="宋体"/>
          <w:b w:val="0"/>
          <w:bCs/>
          <w:color w:val="auto"/>
          <w:sz w:val="21"/>
          <w:szCs w:val="21"/>
          <w:highlight w:val="none"/>
          <w:u w:val="none"/>
          <w:lang w:eastAsia="zh-CN"/>
        </w:rPr>
        <w:t>湖南财经工业职业技术学院</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b w:val="0"/>
          <w:bCs/>
          <w:color w:val="auto"/>
          <w:sz w:val="21"/>
          <w:szCs w:val="21"/>
          <w:highlight w:val="none"/>
          <w:u w:val="none"/>
        </w:rPr>
      </w:pPr>
      <w:r>
        <w:rPr>
          <w:rFonts w:hint="eastAsia" w:ascii="宋体" w:hAnsi="宋体" w:eastAsia="宋体" w:cs="宋体"/>
          <w:b w:val="0"/>
          <w:bCs/>
          <w:color w:val="auto"/>
          <w:sz w:val="21"/>
          <w:szCs w:val="21"/>
          <w:highlight w:val="none"/>
          <w:u w:val="none"/>
        </w:rPr>
        <w:t>地  址：</w:t>
      </w:r>
      <w:r>
        <w:rPr>
          <w:rFonts w:hint="eastAsia" w:ascii="宋体" w:hAnsi="宋体" w:cs="宋体"/>
          <w:b w:val="0"/>
          <w:bCs/>
          <w:color w:val="auto"/>
          <w:sz w:val="21"/>
          <w:szCs w:val="21"/>
          <w:highlight w:val="none"/>
          <w:u w:val="none"/>
          <w:lang w:val="en-US" w:eastAsia="zh-CN"/>
        </w:rPr>
        <w:t>衡阳市珠晖区狮山路20号</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cs="宋体"/>
          <w:b w:val="0"/>
          <w:bCs/>
          <w:color w:val="auto"/>
          <w:sz w:val="21"/>
          <w:szCs w:val="21"/>
          <w:highlight w:val="none"/>
          <w:u w:val="none"/>
          <w:lang w:eastAsia="zh-CN"/>
        </w:rPr>
      </w:pPr>
      <w:r>
        <w:rPr>
          <w:rFonts w:hint="eastAsia" w:ascii="宋体" w:hAnsi="宋体" w:eastAsia="宋体" w:cs="宋体"/>
          <w:b w:val="0"/>
          <w:bCs/>
          <w:color w:val="auto"/>
          <w:sz w:val="21"/>
          <w:szCs w:val="21"/>
          <w:highlight w:val="none"/>
          <w:u w:val="none"/>
        </w:rPr>
        <w:t>联系人：</w:t>
      </w:r>
      <w:r>
        <w:rPr>
          <w:rFonts w:hint="eastAsia" w:ascii="宋体" w:hAnsi="宋体" w:cs="宋体"/>
          <w:b w:val="0"/>
          <w:bCs/>
          <w:color w:val="auto"/>
          <w:sz w:val="21"/>
          <w:szCs w:val="21"/>
          <w:highlight w:val="none"/>
          <w:u w:val="none"/>
          <w:lang w:eastAsia="zh-CN"/>
        </w:rPr>
        <w:t>周先生</w:t>
      </w:r>
    </w:p>
    <w:p>
      <w:pPr>
        <w:pageBreakBefore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cs="宋体"/>
          <w:b w:val="0"/>
          <w:bCs/>
          <w:color w:val="auto"/>
          <w:sz w:val="21"/>
          <w:szCs w:val="21"/>
          <w:highlight w:val="none"/>
          <w:u w:val="none"/>
          <w:lang w:eastAsia="zh-CN"/>
        </w:rPr>
      </w:pPr>
      <w:r>
        <w:rPr>
          <w:rFonts w:hint="eastAsia" w:ascii="宋体" w:hAnsi="宋体" w:eastAsia="宋体" w:cs="宋体"/>
          <w:b w:val="0"/>
          <w:bCs/>
          <w:color w:val="auto"/>
          <w:sz w:val="21"/>
          <w:szCs w:val="21"/>
          <w:highlight w:val="none"/>
          <w:u w:val="none"/>
        </w:rPr>
        <w:t>联系方式：</w:t>
      </w:r>
      <w:r>
        <w:rPr>
          <w:rFonts w:hint="eastAsia" w:ascii="宋体" w:hAnsi="宋体" w:cs="宋体"/>
          <w:b w:val="0"/>
          <w:bCs/>
          <w:color w:val="auto"/>
          <w:sz w:val="21"/>
          <w:szCs w:val="21"/>
          <w:highlight w:val="none"/>
          <w:u w:val="none"/>
          <w:lang w:eastAsia="zh-CN"/>
        </w:rPr>
        <w:t>18711491181</w:t>
      </w:r>
    </w:p>
    <w:p>
      <w:pPr>
        <w:pageBreakBefore w:val="0"/>
        <w:kinsoku/>
        <w:wordWrap/>
        <w:overflowPunct/>
        <w:topLinePunct w:val="0"/>
        <w:autoSpaceDE/>
        <w:autoSpaceDN/>
        <w:bidi w:val="0"/>
        <w:adjustRightInd w:val="0"/>
        <w:snapToGrid w:val="0"/>
        <w:spacing w:before="156" w:beforeLines="50" w:line="360" w:lineRule="exact"/>
        <w:ind w:firstLine="411" w:firstLineChars="196"/>
        <w:textAlignment w:val="auto"/>
        <w:rPr>
          <w:rFonts w:ascii="宋体" w:hAnsi="宋体"/>
          <w:color w:val="auto"/>
          <w:szCs w:val="21"/>
          <w:u w:val="none"/>
        </w:rPr>
      </w:pPr>
      <w:r>
        <w:rPr>
          <w:rFonts w:hint="eastAsia" w:ascii="宋体" w:hAnsi="宋体"/>
          <w:bCs/>
          <w:color w:val="auto"/>
          <w:szCs w:val="21"/>
          <w:u w:val="none"/>
        </w:rPr>
        <w:t>代理机构：</w:t>
      </w:r>
      <w:r>
        <w:rPr>
          <w:rFonts w:hint="eastAsia" w:ascii="宋体" w:hAnsi="宋体"/>
          <w:color w:val="auto"/>
          <w:szCs w:val="21"/>
          <w:u w:val="none"/>
        </w:rPr>
        <w:t xml:space="preserve"> </w:t>
      </w:r>
      <w:r>
        <w:rPr>
          <w:rFonts w:hint="eastAsia" w:ascii="宋体" w:hAnsi="宋体"/>
          <w:color w:val="auto"/>
          <w:szCs w:val="21"/>
          <w:u w:val="none"/>
          <w:lang w:eastAsia="zh-CN"/>
        </w:rPr>
        <w:t>湖南润下项目管理有限责任公司</w:t>
      </w:r>
      <w:r>
        <w:rPr>
          <w:rFonts w:hint="eastAsia" w:ascii="宋体" w:hAnsi="宋体"/>
          <w:color w:val="auto"/>
          <w:szCs w:val="21"/>
          <w:u w:val="none"/>
        </w:rPr>
        <w:t xml:space="preserve"> </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color w:val="auto"/>
          <w:szCs w:val="21"/>
          <w:u w:val="none"/>
        </w:rPr>
      </w:pPr>
      <w:r>
        <w:rPr>
          <w:rFonts w:hint="eastAsia" w:ascii="宋体" w:hAnsi="宋体"/>
          <w:color w:val="auto"/>
          <w:szCs w:val="21"/>
          <w:u w:val="none"/>
        </w:rPr>
        <w:t>地  址：衡阳市高新区长丰大道汇景花园1栋1单元716室</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rPr>
          <w:rFonts w:ascii="宋体" w:hAnsi="宋体"/>
          <w:color w:val="auto"/>
          <w:szCs w:val="21"/>
          <w:u w:val="none"/>
        </w:rPr>
      </w:pPr>
      <w:r>
        <w:rPr>
          <w:rFonts w:hint="eastAsia" w:ascii="宋体" w:hAnsi="宋体"/>
          <w:color w:val="auto"/>
          <w:szCs w:val="21"/>
          <w:u w:val="none"/>
        </w:rPr>
        <w:t xml:space="preserve">联系人： </w:t>
      </w:r>
      <w:r>
        <w:rPr>
          <w:rFonts w:hint="eastAsia" w:ascii="宋体" w:hAnsi="宋体"/>
          <w:color w:val="auto"/>
          <w:szCs w:val="21"/>
          <w:u w:val="none"/>
          <w:lang w:val="en-US" w:eastAsia="zh-CN"/>
        </w:rPr>
        <w:t>罗韦</w:t>
      </w:r>
      <w:r>
        <w:rPr>
          <w:rFonts w:hint="eastAsia" w:ascii="宋体" w:hAnsi="宋体"/>
          <w:color w:val="auto"/>
          <w:szCs w:val="21"/>
          <w:u w:val="none"/>
        </w:rPr>
        <w:t xml:space="preserve">                       </w:t>
      </w:r>
    </w:p>
    <w:p>
      <w:pPr>
        <w:pageBreakBefore w:val="0"/>
        <w:kinsoku/>
        <w:wordWrap/>
        <w:overflowPunct/>
        <w:topLinePunct w:val="0"/>
        <w:autoSpaceDE/>
        <w:autoSpaceDN/>
        <w:bidi w:val="0"/>
        <w:adjustRightInd w:val="0"/>
        <w:snapToGrid w:val="0"/>
        <w:spacing w:before="156" w:beforeLines="50" w:line="360" w:lineRule="exact"/>
        <w:ind w:firstLine="420" w:firstLineChars="200"/>
        <w:textAlignment w:val="auto"/>
      </w:pPr>
      <w:r>
        <w:rPr>
          <w:rFonts w:hint="eastAsia" w:ascii="宋体" w:hAnsi="宋体"/>
          <w:color w:val="auto"/>
          <w:szCs w:val="21"/>
          <w:u w:val="none"/>
        </w:rPr>
        <w:t>联系方式：</w:t>
      </w:r>
      <w:r>
        <w:rPr>
          <w:rFonts w:hint="eastAsia" w:ascii="宋体" w:hAnsi="宋体"/>
          <w:color w:val="auto"/>
          <w:szCs w:val="21"/>
          <w:u w:val="none"/>
          <w:lang w:val="en-US" w:eastAsia="zh-CN"/>
        </w:rPr>
        <w:t>13017162881</w:t>
      </w:r>
    </w:p>
    <w:sectPr>
      <w:pgSz w:w="11906" w:h="16838"/>
      <w:pgMar w:top="1134" w:right="1417" w:bottom="1134"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D58574"/>
    <w:multiLevelType w:val="singleLevel"/>
    <w:tmpl w:val="97D5857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DE38AA"/>
    <w:rsid w:val="22DE38AA"/>
    <w:rsid w:val="25B619EE"/>
    <w:rsid w:val="4901159C"/>
    <w:rsid w:val="55B8637C"/>
    <w:rsid w:val="6BB42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keepNext/>
      <w:keepLines/>
      <w:spacing w:line="360" w:lineRule="auto"/>
      <w:outlineLvl w:val="1"/>
    </w:pPr>
    <w:rPr>
      <w:rFonts w:ascii="Arial" w:hAnsi="Arial"/>
      <w:b/>
      <w:bCs/>
      <w:sz w:val="24"/>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2">
    <w:name w:val="Default Paragraph Font"/>
    <w:semiHidden/>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Plain Text"/>
    <w:basedOn w:val="1"/>
    <w:next w:val="1"/>
    <w:qFormat/>
    <w:uiPriority w:val="99"/>
    <w:pPr>
      <w:widowControl w:val="0"/>
    </w:pPr>
    <w:rPr>
      <w:rFonts w:ascii="宋体" w:hAnsi="Courier New" w:cs="Courier New"/>
      <w:kern w:val="0"/>
      <w:sz w:val="20"/>
      <w:szCs w:val="21"/>
    </w:rPr>
  </w:style>
  <w:style w:type="paragraph" w:styleId="6">
    <w:name w:val="Normal Indent"/>
    <w:basedOn w:val="1"/>
    <w:qFormat/>
    <w:uiPriority w:val="0"/>
    <w:pPr>
      <w:widowControl/>
      <w:ind w:firstLine="420"/>
      <w:jc w:val="left"/>
    </w:pPr>
    <w:rPr>
      <w:kern w:val="0"/>
      <w:sz w:val="20"/>
      <w:szCs w:val="20"/>
    </w:rPr>
  </w:style>
  <w:style w:type="paragraph" w:styleId="7">
    <w:name w:val="Body Text Indent"/>
    <w:basedOn w:val="1"/>
    <w:uiPriority w:val="99"/>
    <w:pPr>
      <w:spacing w:after="120"/>
      <w:ind w:left="420" w:leftChars="200"/>
    </w:pPr>
  </w:style>
  <w:style w:type="paragraph" w:styleId="8">
    <w:name w:val="Normal (Web)"/>
    <w:basedOn w:val="1"/>
    <w:qFormat/>
    <w:uiPriority w:val="0"/>
    <w:pPr>
      <w:spacing w:before="100" w:beforeAutospacing="1" w:after="100" w:afterAutospacing="1"/>
      <w:jc w:val="left"/>
    </w:pPr>
    <w:rPr>
      <w:rFonts w:ascii="宋体" w:hAnsi="宋体" w:cs="宋体"/>
      <w:kern w:val="0"/>
      <w:sz w:val="24"/>
    </w:rPr>
  </w:style>
  <w:style w:type="paragraph" w:styleId="9">
    <w:name w:val="Body Text First Indent 2"/>
    <w:basedOn w:val="7"/>
    <w:next w:val="6"/>
    <w:unhideWhenUsed/>
    <w:qFormat/>
    <w:uiPriority w:val="99"/>
    <w:pPr>
      <w:autoSpaceDE w:val="0"/>
      <w:autoSpaceDN w:val="0"/>
      <w:adjustRightInd w:val="0"/>
      <w:ind w:firstLine="420"/>
      <w:jc w:val="left"/>
    </w:pPr>
    <w:rPr>
      <w:rFonts w:ascii="Calibri" w:hAnsi="Calibri"/>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PlainText"/>
    <w:basedOn w:val="1"/>
    <w:qFormat/>
    <w:uiPriority w:val="0"/>
    <w:rPr>
      <w:rFonts w:ascii="宋体" w:hAnsi="Courier New"/>
      <w:szCs w:val="21"/>
    </w:rPr>
  </w:style>
  <w:style w:type="character" w:customStyle="1" w:styleId="14">
    <w:name w:val="NormalCharacter"/>
    <w:semiHidden/>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2021-12-02T08:12:00Z</dcterms:created>
  <dc:creator>Administrator</dc:creator>
  <cp:lastModifiedBy>Administrator</cp:lastModifiedBy>
  <dcterms:modified xsi:type="dcterms:W3CDTF">2021-12-03T08:10:01Z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1AF95E5F58294CD4A6194DFE6B6D9B6A</vt:lpwstr>
  </property>
</Properties>
</file>